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68019D"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22081B3A"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1C7ABD">
              <w:rPr>
                <w:rFonts w:ascii="Times New Roman" w:hAnsi="Times New Roman" w:cs="Times New Roman"/>
                <w:b w:val="0"/>
                <w:i w:val="0"/>
                <w:color w:val="000000"/>
              </w:rPr>
              <w:t>Gene Therapy and Gene Editing</w:t>
            </w:r>
            <w:r w:rsidR="00512CF2">
              <w:rPr>
                <w:rFonts w:ascii="Times New Roman" w:hAnsi="Times New Roman" w:cs="Times New Roman"/>
                <w:b w:val="0"/>
                <w:i w:val="0"/>
                <w:color w:val="000000"/>
              </w:rPr>
              <w:t xml:space="preserve"> Conference</w:t>
            </w:r>
            <w:r>
              <w:rPr>
                <w:rFonts w:ascii="Times New Roman" w:hAnsi="Times New Roman" w:cs="Times New Roman"/>
                <w:b w:val="0"/>
                <w:i w:val="0"/>
                <w:color w:val="000000"/>
              </w:rPr>
              <w:t xml:space="preserve">, </w:t>
            </w:r>
            <w:r w:rsidR="001C7ABD">
              <w:rPr>
                <w:rFonts w:ascii="Times New Roman" w:hAnsi="Times New Roman" w:cs="Times New Roman"/>
                <w:b w:val="0"/>
                <w:i w:val="0"/>
                <w:color w:val="000000"/>
              </w:rPr>
              <w:t>March 30</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68019D"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5AE2D168"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w:t>
            </w:r>
            <w:r w:rsidR="0068019D">
              <w:rPr>
                <w:rFonts w:ascii="Times New Roman" w:hAnsi="Times New Roman" w:cs="Times New Roman"/>
                <w:color w:val="000000" w:themeColor="text1"/>
              </w:rPr>
              <w:t>1,095</w:t>
            </w:r>
            <w:r w:rsidR="004065B6" w:rsidRPr="00DA4585">
              <w:rPr>
                <w:rFonts w:ascii="Times New Roman" w:hAnsi="Times New Roman" w:cs="Times New Roman"/>
                <w:color w:val="000000" w:themeColor="text1"/>
              </w:rPr>
              <w:t xml:space="preserve">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43A9C7A5"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68019D">
              <w:rPr>
                <w:rFonts w:ascii="Times New Roman" w:hAnsi="Times New Roman" w:cs="Times New Roman"/>
                <w:b/>
              </w:rPr>
              <w:t>1,095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6BFDC779"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w:t>
            </w:r>
            <w:r w:rsidR="0068019D">
              <w:rPr>
                <w:sz w:val="22"/>
                <w:szCs w:val="22"/>
              </w:rPr>
              <w:t>1,095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0EA0EA11"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Gene Therapy and Gene Editing</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w:t>
      </w:r>
      <w:r w:rsidR="001C7ABD">
        <w:rPr>
          <w:rFonts w:ascii="Times New Roman" w:hAnsi="Times New Roman" w:cs="Times New Roman"/>
          <w:color w:val="000000"/>
          <w:sz w:val="20"/>
          <w:szCs w:val="20"/>
        </w:rPr>
        <w:t>March 30</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675085AD" w:rsidR="001379F3"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1C7ABD">
      <w:rPr>
        <w:rFonts w:ascii="Calibri" w:hAnsi="Calibri"/>
        <w:b/>
        <w:color w:val="000000"/>
      </w:rPr>
      <w:t>Gene Therapy and Gene Editing Conference</w:t>
    </w:r>
  </w:p>
  <w:p w14:paraId="17253DC1" w14:textId="4EA99003" w:rsidR="001C7ABD" w:rsidRPr="007B6B60" w:rsidRDefault="001C7ABD" w:rsidP="009412FA">
    <w:pPr>
      <w:pStyle w:val="Header"/>
      <w:jc w:val="center"/>
      <w:rPr>
        <w:rFonts w:ascii="Calibri" w:hAnsi="Calibri"/>
        <w:b/>
        <w:color w:val="000000"/>
      </w:rPr>
    </w:pPr>
    <w:r>
      <w:rPr>
        <w:rFonts w:ascii="Calibri" w:hAnsi="Calibri"/>
        <w:b/>
        <w:color w:val="000000"/>
      </w:rPr>
      <w:t>(Virtual Conference)</w:t>
    </w:r>
  </w:p>
  <w:p w14:paraId="7D73D0D9" w14:textId="6FF6DCD5" w:rsidR="009412FA" w:rsidRPr="001C7ABD" w:rsidRDefault="001C7ABD" w:rsidP="001C7ABD">
    <w:pPr>
      <w:pStyle w:val="Header"/>
      <w:jc w:val="center"/>
      <w:rPr>
        <w:rFonts w:ascii="Calibri" w:hAnsi="Calibri"/>
        <w:b/>
        <w:color w:val="000000"/>
      </w:rPr>
    </w:pPr>
    <w:r>
      <w:rPr>
        <w:rFonts w:ascii="Calibri" w:hAnsi="Calibri"/>
        <w:b/>
        <w:color w:val="000000"/>
      </w:rPr>
      <w:t>March 30</w:t>
    </w:r>
    <w:r w:rsidR="004216D9">
      <w:rPr>
        <w:rFonts w:ascii="Calibri" w:hAnsi="Calibri"/>
        <w:b/>
        <w:color w:val="000000"/>
      </w:rPr>
      <w:t>, 2022</w:t>
    </w:r>
    <w:r>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216D9"/>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8019D"/>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04B13"/>
    <w:rsid w:val="00B2269A"/>
    <w:rsid w:val="00B26E5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2022-02-22T21:37:00Z</dcterms:created>
  <dcterms:modified xsi:type="dcterms:W3CDTF">2022-02-22T21:37:00Z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